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0" w:line="240" w:lineRule="auto"/>
        <w:rPr>
          <w:rFonts w:hint="default" w:ascii="Arial" w:hAnsi="Arial" w:cs="Arial"/>
          <w:color w:val="auto"/>
          <w:sz w:val="18"/>
          <w:szCs w:val="1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</w:rPr>
        <w:t>Denumire Furnizor ..............................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.......................................................................................................…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>…………</w:t>
      </w:r>
    </w:p>
    <w:p>
      <w:pPr>
        <w:autoSpaceDE w:val="0"/>
        <w:spacing w:after="0" w:line="240" w:lineRule="auto"/>
        <w:rPr>
          <w:rFonts w:hint="default" w:ascii="Arial" w:hAnsi="Arial" w:cs="Arial"/>
          <w:color w:val="auto"/>
          <w:sz w:val="18"/>
          <w:szCs w:val="18"/>
          <w:lang w:val="en-US"/>
        </w:rPr>
      </w:pPr>
      <w:r>
        <w:rPr>
          <w:rFonts w:hint="default" w:ascii="Arial" w:hAnsi="Arial" w:cs="Arial"/>
          <w:color w:val="auto"/>
          <w:sz w:val="18"/>
          <w:szCs w:val="18"/>
        </w:rPr>
        <w:t xml:space="preserve">  Contract nr. .........................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.........................…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>………..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 xml:space="preserve">   cu CAS ...........................................................................…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>..</w:t>
      </w:r>
    </w:p>
    <w:p>
      <w:pPr>
        <w:autoSpaceDE w:val="0"/>
        <w:spacing w:after="0" w:line="240" w:lineRule="auto"/>
        <w:rPr>
          <w:rFonts w:hint="default" w:ascii="Arial" w:hAnsi="Arial" w:cs="Arial"/>
          <w:color w:val="auto"/>
          <w:sz w:val="18"/>
          <w:szCs w:val="18"/>
          <w:lang w:val="en-US"/>
        </w:rPr>
      </w:pPr>
    </w:p>
    <w:p>
      <w:pPr>
        <w:autoSpaceDE w:val="0"/>
        <w:spacing w:after="0" w:line="240" w:lineRule="auto"/>
        <w:jc w:val="center"/>
        <w:rPr>
          <w:rFonts w:hint="default" w:ascii="Arial" w:hAnsi="Arial" w:cs="Arial"/>
          <w:b/>
          <w:bCs/>
          <w:i/>
          <w:iCs/>
          <w:color w:val="auto"/>
          <w:sz w:val="18"/>
          <w:szCs w:val="18"/>
          <w:lang w:val="ro-RO"/>
        </w:rPr>
      </w:pPr>
      <w:r>
        <w:rPr>
          <w:rFonts w:hint="default" w:ascii="Arial" w:hAnsi="Arial" w:cs="Arial"/>
          <w:b/>
          <w:bCs/>
          <w:i/>
          <w:iCs/>
          <w:color w:val="auto"/>
          <w:sz w:val="18"/>
          <w:szCs w:val="18"/>
        </w:rPr>
        <w:t xml:space="preserve">Anexă la prescripția medicală pentru </w:t>
      </w:r>
      <w:r>
        <w:rPr>
          <w:rFonts w:hint="default" w:ascii="Arial" w:hAnsi="Arial" w:cs="Arial"/>
          <w:b/>
          <w:bCs/>
          <w:i/>
          <w:iCs/>
          <w:color w:val="auto"/>
          <w:sz w:val="18"/>
          <w:szCs w:val="18"/>
          <w:lang w:val="ro-RO"/>
        </w:rPr>
        <w:t>SUPORTUL DE PRESIUNE POZITIVA CONTINUA CPAP / BPAP</w:t>
      </w:r>
    </w:p>
    <w:p>
      <w:pPr>
        <w:autoSpaceDE w:val="0"/>
        <w:spacing w:after="0" w:line="240" w:lineRule="auto"/>
        <w:jc w:val="center"/>
        <w:rPr>
          <w:rFonts w:hint="default" w:ascii="Arial" w:hAnsi="Arial" w:cs="Arial"/>
          <w:b/>
          <w:bCs/>
          <w:i/>
          <w:iCs/>
          <w:color w:val="auto"/>
          <w:sz w:val="18"/>
          <w:szCs w:val="18"/>
          <w:lang w:val="ro-RO"/>
        </w:rPr>
      </w:pPr>
    </w:p>
    <w:p>
      <w:pPr>
        <w:autoSpaceDE w:val="0"/>
        <w:spacing w:after="0" w:line="240" w:lineRule="auto"/>
        <w:rPr>
          <w:rFonts w:hint="default" w:ascii="Arial" w:hAnsi="Arial" w:cs="Arial"/>
          <w:color w:val="auto"/>
          <w:sz w:val="18"/>
          <w:szCs w:val="18"/>
          <w:lang w:val="ro-RO"/>
        </w:rPr>
      </w:pPr>
      <w:r>
        <w:rPr>
          <w:rFonts w:hint="default" w:ascii="Arial" w:hAnsi="Arial" w:cs="Arial"/>
          <w:b/>
          <w:bCs/>
          <w:color w:val="auto"/>
          <w:sz w:val="18"/>
          <w:szCs w:val="18"/>
        </w:rPr>
        <w:t>ASIGURAT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 xml:space="preserve">: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lang w:val="en-US"/>
        </w:rPr>
        <w:t xml:space="preserve">Nume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</w:rPr>
        <w:t>și prenume..</w:t>
      </w:r>
      <w:r>
        <w:rPr>
          <w:rFonts w:hint="default" w:ascii="Arial" w:hAnsi="Arial" w:cs="Arial"/>
          <w:color w:val="auto"/>
          <w:sz w:val="18"/>
          <w:szCs w:val="18"/>
        </w:rPr>
        <w:t>.............................................................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...............................................................................</w:t>
      </w:r>
    </w:p>
    <w:p>
      <w:pPr>
        <w:autoSpaceDE w:val="0"/>
        <w:spacing w:after="0" w:line="240" w:lineRule="auto"/>
        <w:rPr>
          <w:rFonts w:hint="default" w:ascii="Arial" w:hAnsi="Arial" w:cs="Arial"/>
          <w:color w:val="auto"/>
          <w:sz w:val="18"/>
          <w:szCs w:val="18"/>
          <w:lang w:val="ro-RO"/>
        </w:rPr>
      </w:pPr>
      <w:r>
        <w:rPr>
          <w:rFonts w:hint="default" w:ascii="Arial" w:hAnsi="Arial" w:cs="Arial"/>
          <w:color w:val="auto"/>
          <w:sz w:val="18"/>
          <w:szCs w:val="18"/>
        </w:rPr>
        <w:t xml:space="preserve">                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 xml:space="preserve">    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</w:rPr>
        <w:t>CNP</w:t>
      </w:r>
      <w:r>
        <w:rPr>
          <w:rFonts w:hint="default" w:ascii="Arial" w:hAnsi="Arial" w:cs="Arial"/>
          <w:color w:val="auto"/>
          <w:sz w:val="18"/>
          <w:szCs w:val="18"/>
        </w:rPr>
        <w:t>....................................................................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..............................................................................................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i w:val="0"/>
          <w:iCs w:val="0"/>
          <w:color w:val="auto"/>
          <w:sz w:val="18"/>
          <w:szCs w:val="18"/>
          <w:lang w:val="en-US"/>
        </w:rPr>
      </w:pP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18"/>
          <w:szCs w:val="18"/>
          <w:lang w:val="en-US"/>
        </w:rPr>
        <w:t>S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18"/>
          <w:szCs w:val="18"/>
          <w:lang w:val="ro-RO"/>
        </w:rPr>
        <w:t>e acordă pentru următoarele afectiuni diagnosticate prin poligrafie/polisomnografie efectuata cu maxim 3 ani in urma</w:t>
      </w:r>
      <w:r>
        <w:rPr>
          <w:rFonts w:hint="default" w:ascii="Arial" w:hAnsi="Arial" w:cs="Arial"/>
          <w:b w:val="0"/>
          <w:bCs w:val="0"/>
          <w:i w:val="0"/>
          <w:iCs w:val="0"/>
          <w:color w:val="auto"/>
          <w:sz w:val="18"/>
          <w:szCs w:val="18"/>
          <w:lang w:val="en-US"/>
        </w:rPr>
        <w:t>: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i w:val="0"/>
          <w:iCs w:val="0"/>
          <w:color w:val="auto"/>
          <w:sz w:val="18"/>
          <w:szCs w:val="18"/>
          <w:lang w:val="en-US"/>
        </w:rPr>
      </w:pP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  <w:lang w:val="en-US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a. SINDROM DE APNEE ÎN SOMN DE TIP OBSTRUCTIV ŞI MIXT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  <w:lang w:val="en-US"/>
        </w:rPr>
        <w:t xml:space="preserve"> </w:t>
      </w:r>
    </w:p>
    <w:p>
      <w:pPr>
        <w:numPr>
          <w:ilvl w:val="0"/>
          <w:numId w:val="0"/>
        </w:numPr>
        <w:tabs>
          <w:tab w:val="left" w:pos="420"/>
        </w:tabs>
        <w:autoSpaceDE w:val="0"/>
        <w:spacing w:after="0" w:line="240" w:lineRule="auto"/>
        <w:ind w:firstLine="360" w:firstLineChars="20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La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none"/>
        </w:rPr>
        <w:t xml:space="preserve">adulţi </w:t>
      </w:r>
      <w:r>
        <w:rPr>
          <w:rFonts w:hint="default" w:ascii="Arial" w:hAnsi="Arial" w:eastAsia="Calibri" w:cs="Arial"/>
          <w:color w:val="auto"/>
          <w:sz w:val="18"/>
          <w:szCs w:val="18"/>
        </w:rPr>
        <w:t>sindromul de apnee în somn de tip obstructiv şi mixt se clasifică: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 xml:space="preserve">- </w:t>
      </w:r>
      <w:r>
        <w:rPr>
          <w:rFonts w:hint="default" w:ascii="Arial" w:hAnsi="Arial" w:eastAsia="Calibri" w:cs="Arial"/>
          <w:color w:val="auto"/>
          <w:sz w:val="18"/>
          <w:szCs w:val="18"/>
        </w:rPr>
        <w:t>uşor - IAH &lt; 15 (dacă pacientul este înalt simptomatic, cu scor Epworth &gt; = 10);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none"/>
        </w:rPr>
        <w:t>|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none"/>
          <w:lang w:val="en-US"/>
        </w:rPr>
        <w:t xml:space="preserve"> 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none"/>
          <w:lang w:val="ro-RO"/>
        </w:rPr>
        <w:t xml:space="preserve">- </w:t>
      </w:r>
      <w:r>
        <w:rPr>
          <w:rFonts w:hint="default" w:ascii="Arial" w:hAnsi="Arial" w:eastAsia="Calibri" w:cs="Arial"/>
          <w:color w:val="auto"/>
          <w:sz w:val="18"/>
          <w:szCs w:val="18"/>
        </w:rPr>
        <w:t>moderat - IAH 15-30;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none"/>
          <w:lang w:val="en-US"/>
        </w:rPr>
        <w:t xml:space="preserve"> 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none"/>
          <w:lang w:val="ro-RO"/>
        </w:rPr>
        <w:t xml:space="preserve">- </w:t>
      </w:r>
      <w:r>
        <w:rPr>
          <w:rFonts w:hint="default" w:ascii="Arial" w:hAnsi="Arial" w:eastAsia="Calibri" w:cs="Arial"/>
          <w:color w:val="auto"/>
          <w:sz w:val="18"/>
          <w:szCs w:val="18"/>
          <w:highlight w:val="none"/>
        </w:rPr>
        <w:t>se</w:t>
      </w:r>
      <w:r>
        <w:rPr>
          <w:rFonts w:hint="default" w:ascii="Arial" w:hAnsi="Arial" w:eastAsia="Calibri" w:cs="Arial"/>
          <w:color w:val="auto"/>
          <w:sz w:val="18"/>
          <w:szCs w:val="18"/>
        </w:rPr>
        <w:t>ver - IAH &gt; 30.</w:t>
      </w:r>
    </w:p>
    <w:p>
      <w:pPr>
        <w:numPr>
          <w:ilvl w:val="0"/>
          <w:numId w:val="0"/>
        </w:numPr>
        <w:tabs>
          <w:tab w:val="left" w:pos="420"/>
        </w:tabs>
        <w:autoSpaceDE w:val="0"/>
        <w:spacing w:after="0" w:line="240" w:lineRule="auto"/>
        <w:ind w:left="420" w:left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color w:val="auto"/>
          <w:sz w:val="18"/>
          <w:szCs w:val="18"/>
        </w:rPr>
        <w:t>La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 xml:space="preserve"> copii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sindromul de apnee în somn de tip obstructiv şi mixt se clasifică: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- uşor - IAH între 1-5;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- moderat - IAH între 5 şi 10;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sever - IAH mai mare /= 10.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cs="Arial"/>
          <w:color w:val="auto"/>
          <w:sz w:val="18"/>
          <w:szCs w:val="18"/>
          <w:lang w:eastAsia="en-US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Durata prescripţiei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este de maximum 90/91/92 de zile în funcţie de starea clinică şi evoluţia afecţiunii, pentru persoanele care nu sunt încadrate în grad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de handicap accentuat sau grav, şi de maximum 12 luni, pentru persoanele care sunt încadrate în grad de handicap accentuat sau grav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  <w:lang w:eastAsia="en-US"/>
        </w:rPr>
        <w:t>cu excepția persoanelor care sunt încadrate în grad de handicap accentuat sau grav definitiv, pentru care durata prescripției este nelimitată,</w:t>
      </w:r>
      <w:r>
        <w:rPr>
          <w:rFonts w:hint="default" w:ascii="Arial" w:hAnsi="Arial" w:eastAsia="Calibri" w:cs="Arial"/>
          <w:color w:val="auto"/>
          <w:sz w:val="18"/>
          <w:szCs w:val="18"/>
          <w:lang w:val="ro-RO" w:eastAsia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cu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posibilitatea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reînnoirii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după citirea cardului de complianţă,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 xml:space="preserve">dacă complianţa la terapie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  <w:lang w:eastAsia="en-US"/>
        </w:rPr>
        <w:t>este de</w:t>
      </w:r>
      <w:r>
        <w:rPr>
          <w:rFonts w:hint="default" w:ascii="Arial" w:hAnsi="Arial" w:cs="Arial"/>
          <w:b/>
          <w:bCs/>
          <w:color w:val="auto"/>
          <w:sz w:val="18"/>
          <w:szCs w:val="18"/>
          <w:u w:val="single"/>
          <w:lang w:eastAsia="en-US"/>
        </w:rPr>
        <w:t xml:space="preserve"> &gt;/= 4 ore pe noapte în &gt;/= 70% din nopți în ultimele 3 luni.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Medici curanţi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Dispozitive recomandate</w:t>
      </w:r>
      <w:r>
        <w:rPr>
          <w:rFonts w:hint="default" w:ascii="Arial" w:hAnsi="Arial" w:eastAsia="Calibri" w:cs="Arial"/>
          <w:color w:val="auto"/>
          <w:sz w:val="18"/>
          <w:szCs w:val="18"/>
        </w:rPr>
        <w:t>: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K041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K042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administrat la nivelul căilor aeriene superioare cu posibilitatea autoajustării presiunii - auto CPAP cu card de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  <w:u w:val="single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K051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cu 2 nivele administrat la nivelul căilor aeriene superioare emise spontan şi stabilite prin titrare - Bi-level S cu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card de complianţă,</w:t>
      </w:r>
      <w:r>
        <w:rPr>
          <w:rFonts w:hint="default" w:ascii="Arial" w:hAnsi="Arial" w:eastAsia="Calibri" w:cs="Arial"/>
          <w:color w:val="auto"/>
          <w:sz w:val="18"/>
          <w:szCs w:val="18"/>
          <w:u w:val="single"/>
        </w:rPr>
        <w:t xml:space="preserve"> în cazul eşecului sau intoleranţei la terapia cu CPAP/aCPAP;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color w:val="auto"/>
          <w:sz w:val="18"/>
          <w:szCs w:val="18"/>
          <w:lang w:val="ro-RO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K053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cu 2 nivele administrat la nivelul căilor aeriene superioare cu posibilitatea controlului frecvenţei respiratorii şi a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controlului volumului curent administrat - Bi-level S/T cu opţiune de asistenţă a volumului cu card de complianţă, </w:t>
      </w:r>
      <w:r>
        <w:rPr>
          <w:rFonts w:hint="default" w:ascii="Arial" w:hAnsi="Arial" w:eastAsia="Calibri" w:cs="Arial"/>
          <w:color w:val="auto"/>
          <w:sz w:val="18"/>
          <w:szCs w:val="18"/>
          <w:u w:val="single"/>
        </w:rPr>
        <w:t>în cazul eşecului sau intoleranţei la</w:t>
      </w:r>
      <w:r>
        <w:rPr>
          <w:rFonts w:hint="default" w:ascii="Arial" w:hAnsi="Arial" w:cs="Arial"/>
          <w:color w:val="auto"/>
          <w:sz w:val="18"/>
          <w:szCs w:val="18"/>
          <w:u w:val="single"/>
          <w:lang w:val="ro-RO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  <w:u w:val="single"/>
        </w:rPr>
        <w:t>terapia cu CPAP/aCPAP</w:t>
      </w:r>
      <w:r>
        <w:rPr>
          <w:rFonts w:hint="default" w:ascii="Arial" w:hAnsi="Arial" w:cs="Arial"/>
          <w:color w:val="auto"/>
          <w:sz w:val="18"/>
          <w:szCs w:val="18"/>
          <w:u w:val="single"/>
          <w:lang w:val="ro-RO"/>
        </w:rPr>
        <w:t>.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  <w:highlight w:val="none"/>
          <w:u w:val="single"/>
          <w:lang w:val="ro-RO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K054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none"/>
          <w:lang w:val="ro-RO"/>
        </w:rPr>
        <w:t xml:space="preserve"> -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highlight w:val="none"/>
          <w:lang w:val="ro-RO"/>
        </w:rPr>
        <w:t xml:space="preserve">suport de presiune pozitiva continua cu 2 nivele cu posibilitatea auto-ajustarii acestora - Auto Bi-level cu card de complianta si functie presure relief,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highlight w:val="none"/>
          <w:u w:val="single"/>
          <w:lang w:val="ro-RO"/>
        </w:rPr>
        <w:t>in cazul intolerantei la terapia cu Bi-level S sau S/T.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  <w:highlight w:val="none"/>
          <w:lang w:val="ro-RO"/>
        </w:rPr>
      </w:pP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</w:pPr>
      <w:r>
        <w:rPr>
          <w:rFonts w:hint="default" w:ascii="Arial" w:hAnsi="Arial" w:cs="Arial"/>
          <w:b/>
          <w:bCs/>
          <w:color w:val="auto"/>
          <w:sz w:val="18"/>
          <w:szCs w:val="18"/>
          <w:u w:val="single"/>
          <w:lang w:val="ro-RO"/>
        </w:rPr>
        <w:t>b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.SINDROM DE APNEE ÎN SOMN DE TIP CENTRAL: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color w:val="auto"/>
          <w:sz w:val="18"/>
          <w:szCs w:val="18"/>
        </w:rPr>
        <w:t>Pentru pacienţii cu IAH &gt; 5/h cu prezenţa apneelor şi hipopneelor de tip central &gt; 50% din înregistrare/evenimente centrale &gt; 50% din IAH (minim &gt;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2,5/h) demonstrate polisomnografic/poligrafic.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i/>
          <w:iCs/>
          <w:color w:val="auto"/>
          <w:sz w:val="18"/>
          <w:szCs w:val="18"/>
          <w:u w:val="single"/>
        </w:rPr>
        <w:t>Se efectuează iniţial titrare CPAP</w:t>
      </w:r>
      <w:r>
        <w:rPr>
          <w:rFonts w:hint="default" w:ascii="Arial" w:hAnsi="Arial" w:eastAsia="Calibri" w:cs="Arial"/>
          <w:color w:val="auto"/>
          <w:sz w:val="18"/>
          <w:szCs w:val="18"/>
        </w:rPr>
        <w:t>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Durata prescripţie</w:t>
      </w:r>
      <w:r>
        <w:rPr>
          <w:rFonts w:hint="default" w:ascii="Arial" w:hAnsi="Arial" w:eastAsia="Calibri" w:cs="Arial"/>
          <w:color w:val="auto"/>
          <w:sz w:val="18"/>
          <w:szCs w:val="18"/>
        </w:rPr>
        <w:t>i este de maximum 90/91/92 d</w:t>
      </w:r>
      <w:bookmarkStart w:id="0" w:name="_GoBack"/>
      <w:bookmarkEnd w:id="0"/>
      <w:r>
        <w:rPr>
          <w:rFonts w:hint="default" w:ascii="Arial" w:hAnsi="Arial" w:eastAsia="Calibri" w:cs="Arial"/>
          <w:color w:val="auto"/>
          <w:sz w:val="18"/>
          <w:szCs w:val="18"/>
        </w:rPr>
        <w:t>e zile, în funcţie de starea clinică şi evoluţia afecţiunii, pentru persoanele care nu sunt încadrate în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grad de handicap accentuat sau grav, şi de maximum 12 luni, pentru persoanele care sunt încadrate în grad de handicap accentuat sau grav, </w:t>
      </w:r>
      <w:r>
        <w:rPr>
          <w:rFonts w:hint="default" w:ascii="Arial" w:hAnsi="Arial" w:eastAsia="Calibri" w:cs="Arial"/>
          <w:color w:val="auto"/>
          <w:sz w:val="18"/>
          <w:szCs w:val="18"/>
          <w:lang w:eastAsia="en-US"/>
        </w:rPr>
        <w:t>cu excepția persoanelor care sunt încadrate în grad de handicap accentuat sau grav definitiv, pentru care durata prescripției este nelimitată,</w:t>
      </w:r>
      <w:r>
        <w:rPr>
          <w:rFonts w:hint="default" w:ascii="Arial" w:hAnsi="Arial" w:eastAsia="Calibri" w:cs="Arial"/>
          <w:color w:val="auto"/>
          <w:sz w:val="18"/>
          <w:szCs w:val="18"/>
        </w:rPr>
        <w:t>cu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posibilitatea reînnoirii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după citirea cardului de complianţă,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 xml:space="preserve">dacă complianţa la terapie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lang w:eastAsia="en-US"/>
        </w:rPr>
        <w:t xml:space="preserve">este de </w:t>
      </w:r>
      <w:r>
        <w:rPr>
          <w:rFonts w:hint="default" w:ascii="Arial" w:hAnsi="Arial" w:cs="Arial"/>
          <w:b/>
          <w:bCs/>
          <w:color w:val="auto"/>
          <w:sz w:val="18"/>
          <w:szCs w:val="18"/>
          <w:lang w:eastAsia="en-US"/>
        </w:rPr>
        <w:t>&gt;/= 4 ore pe noapte în &gt;/= 70% din nopți în ultimele 3 luni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Medici curanţi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Dispozitive recomandate</w:t>
      </w:r>
      <w:r>
        <w:rPr>
          <w:rFonts w:hint="default" w:ascii="Arial" w:hAnsi="Arial" w:eastAsia="Calibri" w:cs="Arial"/>
          <w:color w:val="auto"/>
          <w:sz w:val="18"/>
          <w:szCs w:val="18"/>
        </w:rPr>
        <w:t>: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K041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K052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cu 2 nivele administrat la nivelul căilor aeriene superioare cu posibilitatea controlului frecvenţei respiratorii tip Bilevel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S/T pentru tratamentul apneei centrale, complexe, mixte şi al respiraţiei periodice cu card de 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  <w:lang w:val="ro-RO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>K054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- 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s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</w:rPr>
        <w:t xml:space="preserve">uport de presiune pozitivă continuă cu 2 nivele cu posibilitatea auto-ajustării acestora - Auto Bi-level cu card de complianță și funcție presure relief,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</w:rPr>
        <w:t>în cazul intoleranței la terapia  cu Bi-level S sau S/T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  <w:lang w:val="ro-RO"/>
        </w:rPr>
        <w:t>.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  <w:lang w:val="ro-RO"/>
        </w:rPr>
      </w:pP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b/>
          <w:bCs/>
          <w:color w:val="auto"/>
          <w:sz w:val="18"/>
          <w:szCs w:val="18"/>
          <w:lang w:val="ro-RO"/>
        </w:rPr>
        <w:t>c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.</w:t>
      </w:r>
      <w:r>
        <w:rPr>
          <w:rFonts w:hint="default" w:ascii="Arial" w:hAnsi="Arial" w:cs="Arial"/>
          <w:b/>
          <w:bCs/>
          <w:color w:val="auto"/>
          <w:sz w:val="18"/>
          <w:szCs w:val="18"/>
          <w:u w:val="single"/>
          <w:lang w:val="ro-RO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RESPIRAŢIE PERIODICĂ TIP CHEYNE-STOKES: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- există episoade de &gt; 3 apnee centrale consecutive şi/sau hipopnee centrale separate de un crescendo şi o schimbare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>descrescendo a amplitudinii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respiraţiei cu o lungime a ciclului de &gt; 40 secunde;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- există &gt; 5 apnee centrale şi/sau hipopnee centrale pe ora de somn asociate cu modelul de respiraţie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>crescendo/descrescendo înregistrate in decurs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de &gt; 2 ore de monitorizare.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cs="Arial"/>
          <w:color w:val="auto"/>
          <w:sz w:val="18"/>
          <w:szCs w:val="18"/>
          <w:lang w:eastAsia="en-US"/>
        </w:rPr>
        <w:t xml:space="preserve">Apneele centrale sunt demonstrate polisomnografic/poligrafic. </w:t>
      </w:r>
      <w:r>
        <w:rPr>
          <w:rFonts w:hint="default" w:ascii="Arial" w:hAnsi="Arial" w:eastAsia="Calibri" w:cs="Arial"/>
          <w:color w:val="auto"/>
          <w:sz w:val="18"/>
          <w:szCs w:val="18"/>
        </w:rPr>
        <w:t>Se efectuează iniţial titrare CPAP.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Durata prescripţiei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este de maximum 90/91/92 de zile, în funcţie de starea clinică şi evoluţia afecţiunii, pentru persoanele care nu sunt încadrate în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grad de handicap accentuat sau grav, şi de maximum 12 luni, pentru persoanele care sunt încadrate în grad de handicap accentuat sau grav, </w:t>
      </w:r>
      <w:r>
        <w:rPr>
          <w:rFonts w:hint="default" w:ascii="Arial" w:hAnsi="Arial" w:eastAsia="Calibri" w:cs="Arial"/>
          <w:color w:val="auto"/>
          <w:sz w:val="18"/>
          <w:szCs w:val="18"/>
          <w:lang w:eastAsia="en-US"/>
        </w:rPr>
        <w:t xml:space="preserve"> cu excepția persoanelor care sunt încadrate în grad de handicap accentuat sau grav definitiv, pentru care durata prescripției este nelimitată,</w:t>
      </w:r>
      <w:r>
        <w:rPr>
          <w:rFonts w:hint="default" w:ascii="Arial" w:hAnsi="Arial" w:eastAsia="Calibri" w:cs="Arial"/>
          <w:color w:val="auto"/>
          <w:sz w:val="18"/>
          <w:szCs w:val="18"/>
          <w:lang w:val="ro-RO" w:eastAsia="en-US"/>
        </w:rPr>
        <w:t xml:space="preserve"> c</w:t>
      </w:r>
      <w:r>
        <w:rPr>
          <w:rFonts w:hint="default" w:ascii="Arial" w:hAnsi="Arial" w:eastAsia="Calibri" w:cs="Arial"/>
          <w:color w:val="auto"/>
          <w:sz w:val="18"/>
          <w:szCs w:val="18"/>
        </w:rPr>
        <w:t>u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 xml:space="preserve">posibilitatea reînnoirii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după citirea cardului de complianţă,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dacă complianţa la terapie este de &gt; = 80% calculată în raport cu numărul de zile de utilizare.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Medici curanţi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Dispozitive recomandate: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K041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  <w:lang w:val="ro-RO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K052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cu 2 nivele administrat la nivelul căilor aeriene superioare cu posibilitatea controlului frecvenţei respiratorii tip Bilevel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S/T pentru tratamentul apneei centrale, complexe, mixte şi al respiraţiei periodice cu card de complianţă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;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K054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- 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s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</w:rPr>
        <w:t xml:space="preserve">uport de presiune pozitivă continuă cu 2 nivele cu posibilitatea auto-ajustării acestora - Auto Bi-level cu card de complianță și funcție presure relief,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</w:rPr>
        <w:t>în cazul intoleranței la terapia  cu Bi-level S sau S/T.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</w:rPr>
      </w:pP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</w:pPr>
      <w:r>
        <w:rPr>
          <w:rFonts w:hint="default" w:ascii="Arial" w:hAnsi="Arial" w:cs="Arial"/>
          <w:b/>
          <w:bCs/>
          <w:color w:val="auto"/>
          <w:sz w:val="18"/>
          <w:szCs w:val="18"/>
          <w:lang w:val="ro-RO"/>
        </w:rPr>
        <w:t>d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.</w:t>
      </w:r>
      <w:r>
        <w:rPr>
          <w:rFonts w:hint="default" w:ascii="Arial" w:hAnsi="Arial" w:cs="Arial"/>
          <w:b/>
          <w:bCs/>
          <w:color w:val="auto"/>
          <w:sz w:val="18"/>
          <w:szCs w:val="18"/>
          <w:u w:val="single"/>
          <w:lang w:val="ro-RO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SINDROM DE APNEE ÎN SOMN COMPLEX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color w:val="auto"/>
          <w:sz w:val="18"/>
          <w:szCs w:val="18"/>
        </w:rPr>
        <w:t>Emergenţa sau persistenţa apneelor centrale (nr. apnee pe ora de somn &gt; = 5) sau a respiraţiei Cheyne-Stokes la pacienţii cu sindrom de apnee în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somn obstructiv aflaţi sub tratament CPAP care au eliminat excelent, bine sau mulţumitor evenimentele obstructive.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Durata prescripţiei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este de maximum 90/91/92 de zile, în funcţie de starea clinică şi evoluţia afecţiunii, pentru persoanele care nu sunt încadrate în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grad de handicap accentuat sau grav, şi de maximum 12 luni, pentru persoanele care sunt încadrate în grad de handicap accentuat sau grav, </w:t>
      </w:r>
      <w:r>
        <w:rPr>
          <w:rFonts w:hint="default" w:ascii="Arial" w:hAnsi="Arial" w:eastAsia="Calibri" w:cs="Arial"/>
          <w:color w:val="auto"/>
          <w:sz w:val="18"/>
          <w:szCs w:val="18"/>
          <w:lang w:eastAsia="en-US"/>
        </w:rPr>
        <w:t>cu excepția persoanelor care sunt încadrate în grad de handicap accentuat sau grav definitiv, pentru care durata prescripției este nelimitată,</w:t>
      </w:r>
      <w:r>
        <w:rPr>
          <w:rFonts w:hint="default" w:ascii="Arial" w:hAnsi="Arial" w:eastAsia="Calibri" w:cs="Arial"/>
          <w:color w:val="auto"/>
          <w:sz w:val="18"/>
          <w:szCs w:val="18"/>
        </w:rPr>
        <w:t>cu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posibilitatea reînnoirii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după citirea cardului de complianţă,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dacă complianţa la terapie</w:t>
      </w:r>
      <w:r>
        <w:rPr>
          <w:rFonts w:hint="default" w:ascii="Arial" w:hAnsi="Arial" w:cs="Arial"/>
          <w:b/>
          <w:bCs/>
          <w:color w:val="auto"/>
          <w:sz w:val="18"/>
          <w:szCs w:val="18"/>
          <w:lang w:val="ro-RO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lang w:eastAsia="en-US"/>
        </w:rPr>
        <w:t xml:space="preserve">este de </w:t>
      </w:r>
      <w:r>
        <w:rPr>
          <w:rFonts w:hint="default" w:ascii="Arial" w:hAnsi="Arial" w:cs="Arial"/>
          <w:b/>
          <w:bCs/>
          <w:color w:val="auto"/>
          <w:sz w:val="18"/>
          <w:szCs w:val="18"/>
          <w:lang w:eastAsia="en-US"/>
        </w:rPr>
        <w:t xml:space="preserve"> &gt;/= 4 ore pe noapte în &gt;/= 70% din nopți în ultimele 3 luni.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 xml:space="preserve"> 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Medici curanţi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Dispozitive recomandate: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K052</w:t>
      </w:r>
      <w:r>
        <w:rPr>
          <w:rFonts w:hint="default" w:ascii="Arial" w:hAnsi="Arial" w:eastAsia="VerdanaRegular" w:cs="Arial"/>
          <w:color w:val="auto"/>
          <w:sz w:val="18"/>
          <w:szCs w:val="18"/>
        </w:rPr>
        <w:t>-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suport de presiune pozitivă continuă cu 2 nivele administrat la nivelul căilor aeriene superioare cu posibilitatea controlului frecvenţei respiratorii tip Bilevel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S/T pentru tratamentul apneei centrale, complexe, mixte şi al respiraţiei periodice cu card de 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K054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- 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s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</w:rPr>
        <w:t xml:space="preserve">uport de presiune pozitivă continuă cu 2 nivele cu posibilitatea auto-ajustării acestora - Auto Bi-level cu card de complianță și funcție presure relief,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</w:rPr>
        <w:t>în cazul intoleranței la terapia  cu Bi-level S sau S/T.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b w:val="0"/>
          <w:bCs w:val="0"/>
          <w:color w:val="auto"/>
          <w:sz w:val="18"/>
          <w:szCs w:val="18"/>
        </w:rPr>
      </w:pP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</w:pPr>
      <w:r>
        <w:rPr>
          <w:rFonts w:hint="default" w:ascii="Arial" w:hAnsi="Arial" w:cs="Arial"/>
          <w:b/>
          <w:bCs/>
          <w:color w:val="auto"/>
          <w:sz w:val="18"/>
          <w:szCs w:val="18"/>
          <w:lang w:val="ro-RO"/>
        </w:rPr>
        <w:t>e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.</w:t>
      </w:r>
      <w:r>
        <w:rPr>
          <w:rFonts w:hint="default" w:ascii="Arial" w:hAnsi="Arial" w:cs="Arial"/>
          <w:b/>
          <w:bCs/>
          <w:color w:val="auto"/>
          <w:sz w:val="18"/>
          <w:szCs w:val="18"/>
          <w:u w:val="single"/>
          <w:lang w:val="ro-RO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u w:val="single"/>
        </w:rPr>
        <w:t>SINDROM DE OBEZITATE - HIPOVENTILAŢIE (se asociază în 90% din cazuri cu SASO)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color w:val="auto"/>
          <w:sz w:val="18"/>
          <w:szCs w:val="18"/>
        </w:rPr>
        <w:t>Trebuie îndeplinit cel puţin unul dintre criteriile de mai jos: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1.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H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ipercapnie nocturnă cu PaCO2 &gt; = 55 mm Hg demonstrată prin analiza gazelor sanguine imediate după momentul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>trezirii;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2.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C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reşterea nivelului PTC O2 &gt; = 10 mm Hg pe timp de noapte comparativ cu valoare de la culcare, demonstrată prin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>capnometrie transcutanată sau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respiratorie;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3.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P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oligrafia, polisomnografia sau pulsoximetria continuă nocturnă arată SaO2 &lt; 90% cu durata de &gt; 30% din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>înregistrare sub CPAP;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4.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n timpul titrării manuale polisomnografice, SpO2 este &lt; = 90% timp de 5 minute sau mai mult, cu un minim de cel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>puţin 85%;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eastAsia="Calibri" w:cs="Arial"/>
          <w:color w:val="auto"/>
          <w:sz w:val="18"/>
          <w:szCs w:val="18"/>
        </w:rPr>
        <w:t>5.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I</w:t>
      </w:r>
      <w:r>
        <w:rPr>
          <w:rFonts w:hint="default" w:ascii="Arial" w:hAnsi="Arial" w:eastAsia="Calibri" w:cs="Arial"/>
          <w:color w:val="auto"/>
          <w:sz w:val="18"/>
          <w:szCs w:val="18"/>
        </w:rPr>
        <w:t>ndice de masă corporală peste 40 kg/m2.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Durata prescripţiei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este de maximum 90/91/92 de zile, în funcţie de starea clinică şi evoluţia afecţiunii, pentru persoanele care nu sunt încadrate în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grad de handicap accentuat sau grav, şi de maximum 12 luni, pentru persoanele care sunt încadrate în grad de handicap accentuat sau grav, </w:t>
      </w:r>
      <w:r>
        <w:rPr>
          <w:rFonts w:hint="default" w:ascii="Arial" w:hAnsi="Arial" w:eastAsia="Calibri" w:cs="Arial"/>
          <w:color w:val="auto"/>
          <w:sz w:val="18"/>
          <w:szCs w:val="18"/>
          <w:lang w:eastAsia="en-US"/>
        </w:rPr>
        <w:t xml:space="preserve"> cu excepția persoanelor care sunt încadrate în grad de handicap accentuat sau grav definitiv, pentru care durata prescripției este nelimitată, </w:t>
      </w:r>
      <w:r>
        <w:rPr>
          <w:rFonts w:hint="default" w:ascii="Arial" w:hAnsi="Arial" w:eastAsia="Calibri" w:cs="Arial"/>
          <w:color w:val="auto"/>
          <w:sz w:val="18"/>
          <w:szCs w:val="18"/>
        </w:rPr>
        <w:t>cu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posibilitatea reînnoirii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după citirea cardului de complianţă,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dacă complianţa la terapie</w:t>
      </w:r>
      <w:r>
        <w:rPr>
          <w:rFonts w:hint="default" w:ascii="Arial" w:hAnsi="Arial" w:cs="Arial"/>
          <w:b/>
          <w:bCs/>
          <w:color w:val="auto"/>
          <w:sz w:val="18"/>
          <w:szCs w:val="18"/>
          <w:lang w:val="ro-RO"/>
        </w:rPr>
        <w:t xml:space="preserve"> 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  <w:lang w:eastAsia="en-US"/>
        </w:rPr>
        <w:t xml:space="preserve">este de </w:t>
      </w:r>
      <w:r>
        <w:rPr>
          <w:rFonts w:hint="default" w:ascii="Arial" w:hAnsi="Arial" w:cs="Arial"/>
          <w:b/>
          <w:bCs/>
          <w:color w:val="auto"/>
          <w:sz w:val="18"/>
          <w:szCs w:val="18"/>
          <w:lang w:eastAsia="en-US"/>
        </w:rPr>
        <w:t>&gt;/= 4 ore pe noapte în &gt;/= 70% din nopți în ultimele 3 luni.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Medici curanţi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Arial" w:hAnsi="Arial" w:eastAsia="Calibri" w:cs="Arial"/>
          <w:b/>
          <w:bCs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Dispozitive recomandate: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K041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K051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cu 2 nivele de presiune emise spontan administrat la nivelul căilor aeriene superioare şi stabilite prin titrare - Bilevel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S cu card de complianţă;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color w:val="auto"/>
          <w:sz w:val="18"/>
          <w:szCs w:val="18"/>
          <w:lang w:val="ro-RO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K053</w:t>
      </w:r>
      <w:r>
        <w:rPr>
          <w:rFonts w:hint="default" w:ascii="Arial" w:hAnsi="Arial" w:eastAsia="Calibri" w:cs="Arial"/>
          <w:color w:val="auto"/>
          <w:sz w:val="18"/>
          <w:szCs w:val="18"/>
        </w:rPr>
        <w:t>- suport de presiune pozitivă continuă cu 2 nivele administrat la nivelul căilor aeriene superioare cu posibilitatea controlului frecvenţei respiratorii şi a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controlului volumului curent administrat - Bi-level S/T, cu opţiune de asistenţă a volumului cu card de complianţă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;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b w:val="0"/>
          <w:bCs w:val="0"/>
          <w:color w:val="auto"/>
          <w:sz w:val="18"/>
          <w:szCs w:val="18"/>
          <w:u w:val="single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|_|</w:t>
      </w:r>
      <w:r>
        <w:rPr>
          <w:rFonts w:hint="default" w:ascii="Arial" w:hAnsi="Arial" w:cs="Arial"/>
          <w:b/>
          <w:bCs/>
          <w:color w:val="auto"/>
          <w:sz w:val="18"/>
          <w:szCs w:val="18"/>
          <w:highlight w:val="lightGray"/>
          <w:lang w:val="ro-RO"/>
        </w:rPr>
        <w:t xml:space="preserve"> K054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- </w:t>
      </w:r>
      <w:r>
        <w:rPr>
          <w:rFonts w:hint="default" w:ascii="Arial" w:hAnsi="Arial" w:cs="Arial"/>
          <w:color w:val="auto"/>
          <w:sz w:val="18"/>
          <w:szCs w:val="18"/>
          <w:lang w:val="ro-RO"/>
        </w:rPr>
        <w:t>s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</w:rPr>
        <w:t xml:space="preserve">uport de presiune pozitivă continuă cu 2 nivele cu posibilitatea auto-ajustării acestora - Auto Bi-level cu card de complianță și funcție presure relief, </w:t>
      </w:r>
      <w:r>
        <w:rPr>
          <w:rFonts w:hint="default" w:ascii="Arial" w:hAnsi="Arial" w:cs="Arial"/>
          <w:b w:val="0"/>
          <w:bCs w:val="0"/>
          <w:color w:val="auto"/>
          <w:sz w:val="18"/>
          <w:szCs w:val="18"/>
          <w:u w:val="single"/>
        </w:rPr>
        <w:t>în cazul intoleranței la terapia  cu Bi-level S sau S/T.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  <w:lang w:val="en-US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Medic curant în contract cu CAS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>:</w:t>
      </w:r>
      <w:r>
        <w:rPr>
          <w:rFonts w:hint="default" w:ascii="Arial" w:hAnsi="Arial" w:eastAsia="Calibri" w:cs="Arial"/>
          <w:color w:val="auto"/>
          <w:sz w:val="18"/>
          <w:szCs w:val="18"/>
          <w:lang w:val="ro-RO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>r……………………………………………………………………………….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lang w:val="en-US"/>
        </w:rPr>
        <w:t>Specialitatea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: ……………………………………………………………………… </w:t>
      </w:r>
      <w:r>
        <w:rPr>
          <w:rFonts w:hint="default" w:ascii="Arial" w:hAnsi="Arial" w:eastAsia="Calibri" w:cs="Arial"/>
          <w:color w:val="auto"/>
          <w:sz w:val="18"/>
          <w:szCs w:val="18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ab/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                          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 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  <w:lang w:val="en-US"/>
        </w:rPr>
      </w:pPr>
      <w:r>
        <w:rPr>
          <w:rFonts w:hint="default" w:ascii="Arial" w:hAnsi="Arial" w:eastAsia="Calibri" w:cs="Arial"/>
          <w:b/>
          <w:bCs/>
          <w:color w:val="auto"/>
          <w:sz w:val="18"/>
          <w:szCs w:val="18"/>
          <w:highlight w:val="lightGray"/>
        </w:rPr>
        <w:t>|_</w:t>
      </w:r>
      <w:r>
        <w:rPr>
          <w:rFonts w:hint="default" w:ascii="Arial" w:hAnsi="Arial" w:eastAsia="Calibri" w:cs="Arial"/>
          <w:b/>
          <w:bCs/>
          <w:color w:val="auto"/>
          <w:sz w:val="18"/>
          <w:szCs w:val="18"/>
        </w:rPr>
        <w:t>|</w:t>
      </w:r>
      <w:r>
        <w:rPr>
          <w:rFonts w:hint="default" w:ascii="Arial" w:hAnsi="Arial" w:eastAsia="Calibri" w:cs="Arial"/>
          <w:color w:val="auto"/>
          <w:sz w:val="18"/>
          <w:szCs w:val="18"/>
        </w:rPr>
        <w:t xml:space="preserve"> atestat în Managementul general, clinic şi terapeutic al tulburărilor respiratorii din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eastAsia="Calibri" w:cs="Arial"/>
          <w:color w:val="auto"/>
          <w:sz w:val="18"/>
          <w:szCs w:val="18"/>
        </w:rPr>
        <w:t>polisomnografie şi titrare CPAP/BPAP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>.</w:t>
      </w: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</w:p>
    <w:p>
      <w:pPr>
        <w:autoSpaceDE w:val="0"/>
        <w:spacing w:after="0" w:line="240" w:lineRule="auto"/>
        <w:jc w:val="both"/>
        <w:rPr>
          <w:rFonts w:hint="default" w:ascii="Arial" w:hAnsi="Arial" w:eastAsia="Calibri" w:cs="Arial"/>
          <w:color w:val="auto"/>
          <w:sz w:val="18"/>
          <w:szCs w:val="18"/>
        </w:rPr>
      </w:pPr>
      <w:r>
        <w:rPr>
          <w:rFonts w:hint="default" w:ascii="Arial" w:hAnsi="Arial" w:eastAsia="Calibri" w:cs="Arial"/>
          <w:color w:val="auto"/>
          <w:sz w:val="18"/>
          <w:szCs w:val="18"/>
        </w:rPr>
        <w:t>Data</w:t>
      </w:r>
      <w:r>
        <w:rPr>
          <w:rFonts w:hint="default" w:ascii="Arial" w:hAnsi="Arial" w:eastAsia="Calibri" w:cs="Arial"/>
          <w:color w:val="auto"/>
          <w:sz w:val="18"/>
          <w:szCs w:val="18"/>
          <w:lang w:val="en-US"/>
        </w:rPr>
        <w:t>:…………….                                                                                Semn</w:t>
      </w:r>
      <w:r>
        <w:rPr>
          <w:rFonts w:hint="default" w:ascii="Arial" w:hAnsi="Arial" w:eastAsia="Calibri" w:cs="Arial"/>
          <w:color w:val="auto"/>
          <w:sz w:val="18"/>
          <w:szCs w:val="18"/>
        </w:rPr>
        <w:t>ătura și parafa medicului prescriptor</w:t>
      </w:r>
    </w:p>
    <w:sectPr>
      <w:pgSz w:w="12240" w:h="15840"/>
      <w:pgMar w:top="362" w:right="616" w:bottom="28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53F3B"/>
    <w:rsid w:val="00546CB5"/>
    <w:rsid w:val="006D5C89"/>
    <w:rsid w:val="1EC65BEF"/>
    <w:rsid w:val="35C11682"/>
    <w:rsid w:val="3BE10522"/>
    <w:rsid w:val="45A71040"/>
    <w:rsid w:val="48053CB8"/>
    <w:rsid w:val="523503D5"/>
    <w:rsid w:val="552D74CB"/>
    <w:rsid w:val="58BF194F"/>
    <w:rsid w:val="5E5F6958"/>
    <w:rsid w:val="60A075CC"/>
    <w:rsid w:val="7066225F"/>
    <w:rsid w:val="78166FC4"/>
    <w:rsid w:val="796F62A7"/>
    <w:rsid w:val="7E7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2976</Characters>
  <Lines>24</Lines>
  <Paragraphs>6</Paragraphs>
  <TotalTime>3</TotalTime>
  <ScaleCrop>false</ScaleCrop>
  <LinksUpToDate>false</LinksUpToDate>
  <CharactersWithSpaces>3492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2022-02-24T06:42:00Z</dcterms:created>
  <dc:creator>Adrian NEACSU</dc:creator>
  <cp:lastModifiedBy>User11</cp:lastModifiedBy>
  <cp:lastPrinted>2023-03-09T11:22:00Z</cp:lastPrinted>
  <dcterms:modified xsi:type="dcterms:W3CDTF">2023-08-22T05:43:25Z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8F619C094B6641938A76A2D9C2B4B291</vt:lpwstr>
  </property>
</Properties>
</file>